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21" w:rsidRPr="00707B9D" w:rsidRDefault="00171CA6" w:rsidP="00707B9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bookmarkStart w:id="0" w:name="_GoBack"/>
      <w:r w:rsidRPr="00707B9D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651421" w:rsidRPr="00707B9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bookmarkEnd w:id="0"/>
      <w:r w:rsidR="00651421" w:rsidRPr="00707B9D">
        <w:rPr>
          <w:rFonts w:ascii="IRBadr" w:hAnsi="IRBadr" w:cs="IRBadr"/>
          <w:b/>
          <w:bCs/>
          <w:sz w:val="28"/>
          <w:szCs w:val="28"/>
          <w:rtl/>
          <w:lang w:bidi="fa-IR"/>
        </w:rPr>
        <w:t>الرحمن الرحیم</w:t>
      </w:r>
    </w:p>
    <w:p w:rsidR="00707B9D" w:rsidRPr="00707B9D" w:rsidRDefault="00707B9D" w:rsidP="00707B9D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707B9D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مطالب:</w:t>
      </w:r>
    </w:p>
    <w:p w:rsidR="00707B9D" w:rsidRPr="00707B9D" w:rsidRDefault="00707B9D" w:rsidP="00707B9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707B9D">
        <w:rPr>
          <w:rFonts w:ascii="IRBadr" w:hAnsi="IRBadr" w:cs="IRBadr"/>
          <w:b/>
          <w:bCs/>
          <w:sz w:val="28"/>
          <w:rtl/>
        </w:rPr>
        <w:fldChar w:fldCharType="begin"/>
      </w:r>
      <w:r w:rsidRPr="00707B9D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707B9D">
        <w:rPr>
          <w:rFonts w:ascii="IRBadr" w:hAnsi="IRBadr" w:cs="IRBadr"/>
          <w:b/>
          <w:bCs/>
          <w:sz w:val="28"/>
        </w:rPr>
        <w:instrText>TOC</w:instrText>
      </w:r>
      <w:r w:rsidRPr="00707B9D">
        <w:rPr>
          <w:rFonts w:ascii="IRBadr" w:hAnsi="IRBadr" w:cs="IRBadr"/>
          <w:b/>
          <w:bCs/>
          <w:sz w:val="28"/>
          <w:rtl/>
        </w:rPr>
        <w:instrText xml:space="preserve"> \</w:instrText>
      </w:r>
      <w:r w:rsidRPr="00707B9D">
        <w:rPr>
          <w:rFonts w:ascii="IRBadr" w:hAnsi="IRBadr" w:cs="IRBadr"/>
          <w:b/>
          <w:bCs/>
          <w:sz w:val="28"/>
        </w:rPr>
        <w:instrText>o "</w:instrText>
      </w:r>
      <w:r w:rsidRPr="00707B9D">
        <w:rPr>
          <w:rFonts w:ascii="IRBadr" w:hAnsi="IRBadr" w:cs="IRBadr"/>
          <w:b/>
          <w:bCs/>
          <w:sz w:val="28"/>
          <w:rtl/>
        </w:rPr>
        <w:instrText>1-4</w:instrText>
      </w:r>
      <w:r w:rsidRPr="00707B9D">
        <w:rPr>
          <w:rFonts w:ascii="IRBadr" w:hAnsi="IRBadr" w:cs="IRBadr"/>
          <w:b/>
          <w:bCs/>
          <w:sz w:val="28"/>
        </w:rPr>
        <w:instrText>" \h \z \u</w:instrText>
      </w:r>
      <w:r w:rsidRPr="00707B9D">
        <w:rPr>
          <w:rFonts w:ascii="IRBadr" w:hAnsi="IRBadr" w:cs="IRBadr"/>
          <w:b/>
          <w:bCs/>
          <w:sz w:val="28"/>
          <w:rtl/>
        </w:rPr>
        <w:instrText xml:space="preserve"> </w:instrText>
      </w:r>
      <w:r w:rsidRPr="00707B9D">
        <w:rPr>
          <w:rFonts w:ascii="IRBadr" w:hAnsi="IRBadr" w:cs="IRBadr"/>
          <w:b/>
          <w:bCs/>
          <w:sz w:val="28"/>
          <w:rtl/>
        </w:rPr>
        <w:fldChar w:fldCharType="separate"/>
      </w:r>
      <w:hyperlink w:anchor="_Toc428135825" w:history="1">
        <w:r w:rsidRPr="00707B9D">
          <w:rPr>
            <w:rStyle w:val="Hyperlink"/>
            <w:rFonts w:ascii="IRBadr" w:hAnsi="IRBadr" w:cs="IRBadr"/>
            <w:noProof/>
            <w:rtl/>
          </w:rPr>
          <w:t>طرق اثبات حد</w:t>
        </w:r>
        <w:r w:rsidRPr="00707B9D">
          <w:rPr>
            <w:rFonts w:ascii="IRBadr" w:hAnsi="IRBadr" w:cs="IRBadr"/>
            <w:noProof/>
            <w:webHidden/>
          </w:rPr>
          <w:tab/>
        </w:r>
        <w:r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707B9D">
          <w:rPr>
            <w:rFonts w:ascii="IRBadr" w:hAnsi="IRBadr" w:cs="IRBadr"/>
            <w:noProof/>
            <w:webHidden/>
          </w:rPr>
          <w:instrText xml:space="preserve"> PAGEREF _Toc428135825 \h </w:instrText>
        </w:r>
        <w:r w:rsidRPr="00707B9D">
          <w:rPr>
            <w:rStyle w:val="Hyperlink"/>
            <w:rFonts w:ascii="IRBadr" w:hAnsi="IRBadr" w:cs="IRBadr"/>
            <w:noProof/>
            <w:rtl/>
          </w:rPr>
        </w:r>
        <w:r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707B9D">
          <w:rPr>
            <w:rFonts w:ascii="IRBadr" w:hAnsi="IRBadr" w:cs="IRBadr"/>
            <w:noProof/>
            <w:webHidden/>
          </w:rPr>
          <w:t>2</w:t>
        </w:r>
        <w:r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26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_Toc428135826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2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27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بحث رجالی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_Toc428135827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2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28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دو نظریه در قبال علی بن سندی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_Toc428135828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2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29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نظریه اول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_Toc428135829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2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0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نظریه دوم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_Toc428135830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3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1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اصل در اسامی رجال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_Toc428135831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3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2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_Toc428135832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3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3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طریق دوم تصحیح سند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_Toc428135833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3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4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قاعده تبدل سند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_Toc428135834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4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835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جمع‌بندی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_Toc428135835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5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07B9D" w:rsidRPr="00707B9D" w:rsidRDefault="00857370" w:rsidP="00707B9D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135836" w:history="1">
        <w:r w:rsidR="00707B9D" w:rsidRPr="00707B9D">
          <w:rPr>
            <w:rStyle w:val="Hyperlink"/>
            <w:rFonts w:ascii="IRBadr" w:hAnsi="IRBadr" w:cs="IRBadr"/>
            <w:noProof/>
            <w:rtl/>
          </w:rPr>
          <w:t>روایات طایفه مقابل</w:t>
        </w:r>
        <w:r w:rsidR="00707B9D" w:rsidRPr="00707B9D">
          <w:rPr>
            <w:rFonts w:ascii="IRBadr" w:hAnsi="IRBadr" w:cs="IRBadr"/>
            <w:noProof/>
            <w:webHidden/>
          </w:rPr>
          <w:tab/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07B9D" w:rsidRPr="00707B9D">
          <w:rPr>
            <w:rFonts w:ascii="IRBadr" w:hAnsi="IRBadr" w:cs="IRBadr"/>
            <w:noProof/>
            <w:webHidden/>
          </w:rPr>
          <w:instrText xml:space="preserve"> PAGEREF _Toc428135836 \h </w:instrText>
        </w:r>
        <w:r w:rsidR="00707B9D" w:rsidRPr="00707B9D">
          <w:rPr>
            <w:rStyle w:val="Hyperlink"/>
            <w:rFonts w:ascii="IRBadr" w:hAnsi="IRBadr" w:cs="IRBadr"/>
            <w:noProof/>
            <w:rtl/>
          </w:rPr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07B9D" w:rsidRPr="00707B9D">
          <w:rPr>
            <w:rFonts w:ascii="IRBadr" w:hAnsi="IRBadr" w:cs="IRBadr"/>
            <w:noProof/>
            <w:webHidden/>
          </w:rPr>
          <w:t>5</w:t>
        </w:r>
        <w:r w:rsidR="00707B9D" w:rsidRPr="00707B9D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A3E48" w:rsidRDefault="00707B9D" w:rsidP="00707B9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8A3E48" w:rsidRDefault="008A3E48">
      <w:pPr>
        <w:spacing w:after="0" w:line="240" w:lineRule="auto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br w:type="page"/>
      </w:r>
    </w:p>
    <w:p w:rsidR="00651421" w:rsidRPr="00707B9D" w:rsidRDefault="00651421" w:rsidP="00707B9D">
      <w:pPr>
        <w:pStyle w:val="Heading1"/>
        <w:rPr>
          <w:rFonts w:ascii="IRBadr" w:hAnsi="IRBadr" w:cs="IRBadr"/>
          <w:rtl/>
        </w:rPr>
      </w:pPr>
      <w:bookmarkStart w:id="1" w:name="_Toc428135825"/>
      <w:r w:rsidRPr="00707B9D">
        <w:rPr>
          <w:rFonts w:ascii="IRBadr" w:hAnsi="IRBadr" w:cs="IRBadr"/>
          <w:rtl/>
        </w:rPr>
        <w:lastRenderedPageBreak/>
        <w:t>طرق اثبات حد</w:t>
      </w:r>
      <w:bookmarkEnd w:id="1"/>
    </w:p>
    <w:p w:rsidR="00651421" w:rsidRPr="00707B9D" w:rsidRDefault="00651421" w:rsidP="00707B9D">
      <w:pPr>
        <w:pStyle w:val="Heading1"/>
        <w:rPr>
          <w:rFonts w:ascii="IRBadr" w:hAnsi="IRBadr" w:cs="IRBadr"/>
          <w:rtl/>
        </w:rPr>
      </w:pPr>
      <w:bookmarkStart w:id="2" w:name="_Toc428135826"/>
      <w:r w:rsidRPr="00707B9D">
        <w:rPr>
          <w:rFonts w:ascii="IRBadr" w:hAnsi="IRBadr" w:cs="IRBadr"/>
          <w:rtl/>
        </w:rPr>
        <w:t>مرور بحث سابق</w:t>
      </w:r>
      <w:bookmarkEnd w:id="2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بحث در جلسه گذشته در خصوص طرق اثبات حدود بود،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شد که یکی از طرق مثبته در این مقام اقرار فرد است، گفته شد در بحث حدود همانند بحث زنا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به‌یک‌بار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از اقرار 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اکتفا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امر خلاف قاعده بود لذا نیازمند دلیل خاص بود،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ادله‌ای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که در این زمینه وجود داشت،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مطرح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گشت.</w:t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این دو زمینه از یکدیگر تفکیک شد که اقرار جهت اثبات حد امری ورای اثبات ضمان است،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دنبال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یک اقرار به سرقت،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ضمان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حاصل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اما در قبال اثبات حد نیازمند به دو اقرار هستیم. برخی از روایات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از حیث سندی قوی و برخی دارای ضعف بودند.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3" w:name="_Toc428135827"/>
      <w:r w:rsidRPr="00707B9D">
        <w:rPr>
          <w:rFonts w:ascii="IRBadr" w:hAnsi="IRBadr" w:cs="IRBadr"/>
          <w:rtl/>
        </w:rPr>
        <w:t>بحث رجالی</w:t>
      </w:r>
      <w:bookmarkEnd w:id="3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یکی از اسنادی که با ضعف مواجه بود،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همان‌طور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که بیان شد روایتی است که در آن علی بن سندی وجود دارد که لازم است در قبال مطالبی مطرح شود؛</w:t>
      </w:r>
    </w:p>
    <w:p w:rsidR="00651421" w:rsidRPr="00707B9D" w:rsidRDefault="00171CA6" w:rsidP="00707B9D">
      <w:pPr>
        <w:pStyle w:val="Heading2"/>
        <w:rPr>
          <w:rFonts w:ascii="IRBadr" w:hAnsi="IRBadr" w:cs="IRBadr"/>
          <w:rtl/>
        </w:rPr>
      </w:pPr>
      <w:bookmarkStart w:id="4" w:name="_Toc428135828"/>
      <w:r w:rsidRPr="00707B9D">
        <w:rPr>
          <w:rFonts w:ascii="IRBadr" w:hAnsi="IRBadr" w:cs="IRBadr"/>
          <w:rtl/>
        </w:rPr>
        <w:t>دو نظریه</w:t>
      </w:r>
      <w:r w:rsidR="00651421" w:rsidRPr="00707B9D">
        <w:rPr>
          <w:rFonts w:ascii="IRBadr" w:hAnsi="IRBadr" w:cs="IRBadr"/>
          <w:rtl/>
        </w:rPr>
        <w:t xml:space="preserve"> در قبال علی بن سندی</w:t>
      </w:r>
      <w:bookmarkEnd w:id="4"/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5" w:name="_Toc428135829"/>
      <w:r w:rsidRPr="00707B9D">
        <w:rPr>
          <w:rFonts w:ascii="IRBadr" w:hAnsi="IRBadr" w:cs="IRBadr"/>
          <w:rtl/>
        </w:rPr>
        <w:t>نظریه اول</w:t>
      </w:r>
      <w:bookmarkEnd w:id="5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این بحث در تنقیه المقال مرحوم مامقانی و معجم رجال آقای خویی آمده است که علی بن سندی به این عنوان و نام مجهول است. علی بن سندی به این تعبیر نه در رجال شیخ و مرحوم نجاشی بدان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اشاره‌کرده‌اند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، لذا اگر تا این حد باشد،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از اعتبار ساقط خواهد شد.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6" w:name="_Toc428135830"/>
      <w:r w:rsidRPr="00707B9D">
        <w:rPr>
          <w:rFonts w:ascii="IRBadr" w:hAnsi="IRBadr" w:cs="IRBadr"/>
          <w:rtl/>
        </w:rPr>
        <w:t>نظریه دوم</w:t>
      </w:r>
      <w:bookmarkEnd w:id="6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اما در مقابل این نظریه که علی بن سندی مجهول است و طبعاً غیر موثق است، نظر دومی هم وجود دارد که علی بن سندی همان علی بن اسماعیل است و علی بن اسماعیل بن شعیب موثق است. لذا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وقتی‌که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علی بن سندی مطلق باشد به علی بن اسماعیل بن شعیب منصرف است که موثق است.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7" w:name="_Toc428135831"/>
      <w:r w:rsidRPr="00707B9D">
        <w:rPr>
          <w:rFonts w:ascii="IRBadr" w:hAnsi="IRBadr" w:cs="IRBadr"/>
          <w:rtl/>
        </w:rPr>
        <w:lastRenderedPageBreak/>
        <w:t>اصل در اسامی رجال</w:t>
      </w:r>
      <w:bookmarkEnd w:id="7"/>
    </w:p>
    <w:p w:rsidR="00651421" w:rsidRPr="00707B9D" w:rsidRDefault="00651421" w:rsidP="003773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اصل این است که اسامی متعدد برای مسمیات متعدده است و خروج از این اصل دلیل می‌خواهد.</w:t>
      </w:r>
      <w:r w:rsidR="0037730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در اینجا علی بن سندی با علی بن اسماعیل در یک طبقه هستند.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راوی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غالباً یکی هستند.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 xml:space="preserve"> مروی</w:t>
      </w:r>
      <w:r w:rsidR="00761F48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عنه</w:t>
      </w:r>
      <w:r w:rsidR="00761F48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ها نیز یکی است، بنابراین می‌شود بگوییم این همان است.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8" w:name="_Toc428135832"/>
      <w:r w:rsidRPr="00707B9D">
        <w:rPr>
          <w:rFonts w:ascii="IRBadr" w:hAnsi="IRBadr" w:cs="IRBadr"/>
          <w:rtl/>
        </w:rPr>
        <w:t>اتخاذ مبنا</w:t>
      </w:r>
      <w:bookmarkEnd w:id="8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اما این احتمال ضعیف است. برای اینکه به این حد از قرینه نمی‌توانیم اکتفا 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کنیم. صرف اینکه روات و مروی</w:t>
      </w:r>
      <w:r w:rsidR="00761F48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عنه</w:t>
      </w:r>
      <w:r w:rsidR="00761F48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ها یکی است و اسم اولشان دارای تشابه است و در یک طبقه هستند،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 دو نفر یکی هستند دلیل بر این ادعا نخواهد شد و اطمینانی را به دنبال نخواهد آورد.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در اینجا به همان اصل تعدد مسمیات در قبال تعدد اسماء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برمی‌گردیم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.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اینکه گفته شود اگر او نباشد پس چرا شیخ نام او را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ذکر نکرده است،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قابل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پاسخ‌دهی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 به اینکه شیخ اسامی خیلی از افراد دیگر را ذکر نکرده است.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9" w:name="_Toc428135833"/>
      <w:r w:rsidRPr="00707B9D">
        <w:rPr>
          <w:rFonts w:ascii="IRBadr" w:hAnsi="IRBadr" w:cs="IRBadr"/>
          <w:rtl/>
        </w:rPr>
        <w:t>طریق دوم تصحیح سند</w:t>
      </w:r>
      <w:bookmarkEnd w:id="9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اما طریق دومی که برای تصحیح این سند می‌شود ذکر کرد طریق تبدل سندی است که مکرراً بدان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است. برخی از توثیقات عام و برخی توثیقات خاص هستند و سندهای مشترکی که وجود دارد گاهی در برخی از موارد سند این حالت دیده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و گاهی در حد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قابل‌توجهی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از سند این روند وجود دارد که در پایان در مشیخه به موارد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حذف‌شده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و سیری که در آنان وجود داشته است پرداخته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. این روش در سه کتاب از کتب اربعه غیر از کافی دیده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و از این روش برای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آسان‌سازی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بیشتر بهره برده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51421" w:rsidRPr="00707B9D" w:rsidRDefault="00651421" w:rsidP="00707B9D">
      <w:pPr>
        <w:pStyle w:val="Heading2"/>
        <w:rPr>
          <w:rFonts w:ascii="IRBadr" w:hAnsi="IRBadr" w:cs="IRBadr"/>
          <w:rtl/>
        </w:rPr>
      </w:pPr>
      <w:bookmarkStart w:id="10" w:name="_Toc428135834"/>
      <w:r w:rsidRPr="00707B9D">
        <w:rPr>
          <w:rFonts w:ascii="IRBadr" w:hAnsi="IRBadr" w:cs="IRBadr"/>
          <w:rtl/>
        </w:rPr>
        <w:t>قاعده تبدل سند</w:t>
      </w:r>
      <w:bookmarkEnd w:id="10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برخی از 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قدما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و متأخرین و از میان اصولیین و اخباریین افرادی بودند که به این قاعده اشاره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 میان در بین متأخرین افرادی چون آقای خویی،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شهید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صدر،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تبریزی به این قاعده تعویض سند توجه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قاعده تعویض سند این است که این سند بسیار عام و کلی با تعبیر اخبرنا بجمیع کتبه و روایاته آمده است. در فهرست شیخ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 سند را به همه روایاتی که در تهذیب و استبصار می‌آید تسری داد.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شامل مواردی است که خود ایشان به سند در متن پرداخته است و در پایان وقتی عبارت فوق را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 سندها را تکمیل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قبال عبارت اخبرنی بجمیع و کتبه و روایاته،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؛ آن سندی که در فهرست است شامل این روایت هم می‌شود. این سندها جای سندهایی که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اشخاص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ضعیفی درون آن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قرارگرفته‌اند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، مثلاً در اینجا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وقتی در فهرست می‌گوید هر چه من از ابن ابی عمیر نقل می‌کنم سندی دارد که آن سند معتبر است، جای این سند را تا ابن ابی عمیر می‌گیرد.</w:t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لذا اگر راوی از ابن ابی عمیر ضعیف باشد مضر به روایت نیست. چراکه آن سند مطلق سند صحیح است و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>جای این سند می‌نشیند.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در قبال این قاعده اشکالاتی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 که محل بحث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فراوانی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 و باید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دیگر مطرح شود.</w:t>
      </w:r>
    </w:p>
    <w:p w:rsidR="00651421" w:rsidRPr="00707B9D" w:rsidRDefault="00171CA6" w:rsidP="00707B9D">
      <w:pPr>
        <w:pStyle w:val="Heading2"/>
        <w:rPr>
          <w:rFonts w:ascii="IRBadr" w:hAnsi="IRBadr" w:cs="IRBadr"/>
          <w:rtl/>
        </w:rPr>
      </w:pPr>
      <w:bookmarkStart w:id="11" w:name="_Toc428135835"/>
      <w:r w:rsidRPr="00707B9D">
        <w:rPr>
          <w:rFonts w:ascii="IRBadr" w:hAnsi="IRBadr" w:cs="IRBadr"/>
          <w:rtl/>
        </w:rPr>
        <w:t>جمع‌بندی</w:t>
      </w:r>
      <w:bookmarkEnd w:id="11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بنابراین این سه حدیث دلالت بر مرتین می‌کرد. منتها حدیث اول دلالت معتبر و سند ضعیف داشت. حدیث دوم سند معتبر و دلالت ضعیف، حدیث سوم با آن مبنایی که ذکر کردیم سنداً و دلالتاً معتبر می‌شود. پس در طایفه اولی روایت معتبر داریم و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طبعاً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آن دو روایت </w:t>
      </w:r>
      <w:r w:rsidR="00761F48">
        <w:rPr>
          <w:rFonts w:ascii="IRBadr" w:hAnsi="IRBadr" w:cs="IRBadr"/>
          <w:sz w:val="28"/>
          <w:szCs w:val="28"/>
          <w:rtl/>
          <w:lang w:bidi="fa-IR"/>
        </w:rPr>
        <w:t>مؤید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این روایت می‌شود. و اما در مقابل این دو طایفه، طایفه دیگری وجود دارد که مره را کافی می‌داند.</w:t>
      </w:r>
    </w:p>
    <w:p w:rsidR="00651421" w:rsidRPr="00707B9D" w:rsidRDefault="00651421" w:rsidP="00707B9D">
      <w:pPr>
        <w:pStyle w:val="Heading3"/>
        <w:rPr>
          <w:rFonts w:ascii="IRBadr" w:hAnsi="IRBadr" w:cs="IRBadr"/>
          <w:rtl/>
        </w:rPr>
      </w:pPr>
      <w:bookmarkStart w:id="12" w:name="_Toc428135836"/>
      <w:r w:rsidRPr="00707B9D">
        <w:rPr>
          <w:rFonts w:ascii="IRBadr" w:hAnsi="IRBadr" w:cs="IRBadr"/>
          <w:rtl/>
        </w:rPr>
        <w:t>روایات طایفه مقابل</w:t>
      </w:r>
      <w:bookmarkEnd w:id="12"/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>روایت اول حدیث سوم این باب است که دارای سند معتبری است.</w:t>
      </w:r>
    </w:p>
    <w:p w:rsidR="00651421" w:rsidRPr="00707B9D" w:rsidRDefault="00651421" w:rsidP="00707B9D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«مُحَمَّدُ بْنُ الْحَسَنِ بِإِسْنَادِهِ عَنِ الْحُسَ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سَعِ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عَنِ ابْنِ مَحْبُوبٍ عَنِ الْفُضَ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لِ عَنْ أَبِ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إِنْ أَقَرَّ الرَّجُلُ الْحُرُّ عَلَ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نَفْسِهِ مَرَّةً وَاحِدَةً عِنْدَ الْإِمَامِ قُطِعَ.</w:t>
      </w:r>
      <w:r w:rsidR="00171CA6"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707B9D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به‌صراحت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می‌گوید اگر انسان آزادی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پیش امام اقرار کرد، دست او قطع می‌شود. البته این روایت از تهذیب و استبصار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است. اما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نسخه‌ای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که مرحوم صاحب جواهر از آن نقل نموده است،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 xml:space="preserve"> فرق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دارد چراکه در آن علاوه بر عبارت فوق تعبیر بسرقة نیز </w:t>
      </w:r>
      <w:r w:rsidR="00171CA6" w:rsidRPr="00707B9D">
        <w:rPr>
          <w:rFonts w:ascii="IRBadr" w:hAnsi="IRBadr" w:cs="IRBadr"/>
          <w:sz w:val="28"/>
          <w:szCs w:val="28"/>
          <w:rtl/>
          <w:lang w:bidi="fa-IR"/>
        </w:rPr>
        <w:t>اضافه‌شده</w:t>
      </w:r>
      <w:r w:rsidRPr="00707B9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651421" w:rsidRPr="00707B9D" w:rsidRDefault="00651421" w:rsidP="00707B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707B9D" w:rsidRDefault="00152670" w:rsidP="00707B9D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707B9D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370" w:rsidRDefault="00857370" w:rsidP="000D5800">
      <w:pPr>
        <w:spacing w:after="0" w:line="240" w:lineRule="auto"/>
      </w:pPr>
      <w:r>
        <w:separator/>
      </w:r>
    </w:p>
  </w:endnote>
  <w:endnote w:type="continuationSeparator" w:id="0">
    <w:p w:rsidR="00857370" w:rsidRDefault="0085737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42" w:rsidRDefault="00F95B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84292444"/>
      <w:docPartObj>
        <w:docPartGallery w:val="Page Numbers (Bottom of Page)"/>
        <w:docPartUnique/>
      </w:docPartObj>
    </w:sdtPr>
    <w:sdtEndPr/>
    <w:sdtContent>
      <w:p w:rsidR="00707B9D" w:rsidRDefault="00707B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F4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71CA6" w:rsidRDefault="00171C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42" w:rsidRDefault="00F95B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370" w:rsidRDefault="00857370" w:rsidP="00707B9D">
      <w:pPr>
        <w:bidi/>
        <w:spacing w:after="0" w:line="240" w:lineRule="auto"/>
      </w:pPr>
      <w:r>
        <w:separator/>
      </w:r>
    </w:p>
  </w:footnote>
  <w:footnote w:type="continuationSeparator" w:id="0">
    <w:p w:rsidR="00857370" w:rsidRDefault="00857370" w:rsidP="000D5800">
      <w:pPr>
        <w:spacing w:after="0" w:line="240" w:lineRule="auto"/>
      </w:pPr>
      <w:r>
        <w:continuationSeparator/>
      </w:r>
    </w:p>
  </w:footnote>
  <w:footnote w:id="1">
    <w:p w:rsidR="00651421" w:rsidRPr="00EC75CB" w:rsidRDefault="00651421" w:rsidP="00651421">
      <w:pPr>
        <w:pStyle w:val="FootnoteText"/>
        <w:rPr>
          <w:rFonts w:ascii="IRBadr" w:hAnsi="IRBadr" w:cs="IRBadr"/>
          <w:b/>
          <w:bCs/>
          <w:rtl/>
        </w:rPr>
      </w:pPr>
      <w:r w:rsidRPr="00EC75CB">
        <w:rPr>
          <w:rStyle w:val="FootnoteReference"/>
          <w:rFonts w:ascii="IRBadr" w:hAnsi="IRBadr" w:cs="IRBadr"/>
          <w:b/>
          <w:bCs/>
        </w:rPr>
        <w:footnoteRef/>
      </w:r>
      <w:r w:rsidRPr="00EC75CB">
        <w:rPr>
          <w:rFonts w:ascii="IRBadr" w:hAnsi="IRBadr" w:cs="IRBadr"/>
          <w:b/>
          <w:bCs/>
        </w:rPr>
        <w:t xml:space="preserve"> </w:t>
      </w:r>
      <w:r w:rsidRPr="00EC75CB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171CA6" w:rsidRPr="00EC75CB">
        <w:rPr>
          <w:rFonts w:ascii="IRBadr" w:hAnsi="IRBadr" w:cs="IRBadr"/>
          <w:b/>
          <w:bCs/>
          <w:color w:val="000000" w:themeColor="text1"/>
          <w:rtl/>
        </w:rPr>
        <w:t>ی</w:t>
      </w:r>
      <w:r w:rsidRPr="00EC75CB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171CA6" w:rsidRPr="00EC75CB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EC75CB">
        <w:rPr>
          <w:rFonts w:ascii="IRBadr" w:hAnsi="IRBadr" w:cs="IRBadr"/>
          <w:b/>
          <w:bCs/>
          <w:color w:val="000000" w:themeColor="text1"/>
          <w:rtl/>
        </w:rPr>
        <w:t>، ص: 250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42" w:rsidRDefault="00F95B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07B9D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D47844D" wp14:editId="3BAB817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3876D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3D92D068" wp14:editId="4451EA4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07B9D">
      <w:rPr>
        <w:rFonts w:ascii="IranNastaliq" w:hAnsi="IranNastaliq" w:cs="IranNastaliq"/>
        <w:sz w:val="40"/>
        <w:szCs w:val="40"/>
      </w:rPr>
      <w:t>195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42" w:rsidRDefault="00F95B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1CA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31C75"/>
    <w:rsid w:val="00340BA3"/>
    <w:rsid w:val="00366400"/>
    <w:rsid w:val="003729B1"/>
    <w:rsid w:val="00377306"/>
    <w:rsid w:val="003963D7"/>
    <w:rsid w:val="00396F28"/>
    <w:rsid w:val="003A1A05"/>
    <w:rsid w:val="003A2654"/>
    <w:rsid w:val="003B34E5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170FC"/>
    <w:rsid w:val="004373F1"/>
    <w:rsid w:val="0044591E"/>
    <w:rsid w:val="004651D2"/>
    <w:rsid w:val="00465D26"/>
    <w:rsid w:val="004679F8"/>
    <w:rsid w:val="00494DC0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51421"/>
    <w:rsid w:val="00661F15"/>
    <w:rsid w:val="0066229C"/>
    <w:rsid w:val="00662F9F"/>
    <w:rsid w:val="00675B32"/>
    <w:rsid w:val="0069696C"/>
    <w:rsid w:val="006A085A"/>
    <w:rsid w:val="006D3A87"/>
    <w:rsid w:val="006F01B4"/>
    <w:rsid w:val="00707B9D"/>
    <w:rsid w:val="00734D59"/>
    <w:rsid w:val="0073609B"/>
    <w:rsid w:val="00752745"/>
    <w:rsid w:val="00761F48"/>
    <w:rsid w:val="00766458"/>
    <w:rsid w:val="0076665E"/>
    <w:rsid w:val="007749BC"/>
    <w:rsid w:val="00780C88"/>
    <w:rsid w:val="00780E25"/>
    <w:rsid w:val="007818F0"/>
    <w:rsid w:val="00783462"/>
    <w:rsid w:val="00786F39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222D5"/>
    <w:rsid w:val="008407A4"/>
    <w:rsid w:val="00844860"/>
    <w:rsid w:val="00845CC4"/>
    <w:rsid w:val="00857370"/>
    <w:rsid w:val="008644F4"/>
    <w:rsid w:val="00883733"/>
    <w:rsid w:val="008965D2"/>
    <w:rsid w:val="008A236D"/>
    <w:rsid w:val="008A3E48"/>
    <w:rsid w:val="008B565A"/>
    <w:rsid w:val="008C3414"/>
    <w:rsid w:val="008D36D5"/>
    <w:rsid w:val="008E1103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86F41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2265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C75CB"/>
    <w:rsid w:val="00EE1C07"/>
    <w:rsid w:val="00EE2C91"/>
    <w:rsid w:val="00EE3979"/>
    <w:rsid w:val="00EF138C"/>
    <w:rsid w:val="00F034CE"/>
    <w:rsid w:val="00F10A0F"/>
    <w:rsid w:val="00F40284"/>
    <w:rsid w:val="00F5227D"/>
    <w:rsid w:val="00F67976"/>
    <w:rsid w:val="00F70BE1"/>
    <w:rsid w:val="00F76AEB"/>
    <w:rsid w:val="00F95B42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07B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07B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0AF4C-5334-4126-93F8-5FBB2E17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85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25</cp:revision>
  <dcterms:created xsi:type="dcterms:W3CDTF">2014-12-20T10:23:00Z</dcterms:created>
  <dcterms:modified xsi:type="dcterms:W3CDTF">2015-08-15T07:00:00Z</dcterms:modified>
</cp:coreProperties>
</file>